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="00421928" w:rsidRPr="004D4277">
        <w:rPr>
          <w:b/>
          <w:sz w:val="20"/>
          <w:szCs w:val="20"/>
        </w:rPr>
        <w:t>оценки качества</w:t>
      </w:r>
      <w:r w:rsidRPr="004D4277">
        <w:rPr>
          <w:b/>
          <w:sz w:val="20"/>
          <w:szCs w:val="20"/>
        </w:rPr>
        <w:t xml:space="preserve"> условий осуществления образовательной </w:t>
      </w:r>
      <w:r w:rsidR="00421928" w:rsidRPr="004D4277">
        <w:rPr>
          <w:b/>
          <w:sz w:val="20"/>
          <w:szCs w:val="20"/>
        </w:rPr>
        <w:t>деятельности организации</w:t>
      </w:r>
      <w:r w:rsidR="00827A5E">
        <w:rPr>
          <w:b/>
          <w:sz w:val="20"/>
          <w:szCs w:val="20"/>
        </w:rPr>
        <w:t xml:space="preserve"> дополнительного</w:t>
      </w:r>
      <w:proofErr w:type="gramEnd"/>
      <w:r w:rsidR="00827A5E">
        <w:rPr>
          <w:b/>
          <w:sz w:val="20"/>
          <w:szCs w:val="20"/>
        </w:rPr>
        <w:t xml:space="preserve"> образования детей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296707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421928" w:rsidRDefault="00F65705" w:rsidP="004D4277">
      <w:pPr>
        <w:jc w:val="both"/>
        <w:rPr>
          <w:b/>
          <w:color w:val="000000" w:themeColor="text1"/>
          <w:sz w:val="20"/>
          <w:szCs w:val="20"/>
        </w:rPr>
      </w:pPr>
    </w:p>
    <w:p w:rsidR="001B6CD8" w:rsidRPr="00421928" w:rsidRDefault="004D4277" w:rsidP="00B6591A">
      <w:pPr>
        <w:ind w:firstLine="567"/>
        <w:jc w:val="both"/>
        <w:rPr>
          <w:color w:val="000000" w:themeColor="text1"/>
          <w:sz w:val="20"/>
          <w:szCs w:val="20"/>
          <w:u w:val="single"/>
        </w:rPr>
      </w:pPr>
      <w:r w:rsidRPr="00421928">
        <w:rPr>
          <w:b/>
          <w:i/>
          <w:color w:val="000000" w:themeColor="text1"/>
          <w:sz w:val="20"/>
          <w:szCs w:val="20"/>
        </w:rPr>
        <w:t xml:space="preserve">Объект </w:t>
      </w:r>
      <w:r w:rsidR="000E3D8A" w:rsidRPr="00421928">
        <w:rPr>
          <w:b/>
          <w:i/>
          <w:color w:val="000000" w:themeColor="text1"/>
          <w:sz w:val="20"/>
          <w:szCs w:val="20"/>
        </w:rPr>
        <w:t>исследования:</w:t>
      </w:r>
      <w:r w:rsidR="0097381B" w:rsidRPr="00421928">
        <w:rPr>
          <w:b/>
          <w:i/>
          <w:color w:val="000000" w:themeColor="text1"/>
          <w:sz w:val="20"/>
          <w:szCs w:val="20"/>
        </w:rPr>
        <w:t xml:space="preserve"> </w:t>
      </w:r>
      <w:r w:rsidR="00D2763A" w:rsidRPr="00421928">
        <w:rPr>
          <w:color w:val="000000" w:themeColor="text1"/>
          <w:sz w:val="16"/>
          <w:szCs w:val="16"/>
          <w:u w:val="single"/>
        </w:rPr>
        <w:t>МУНИЦИПАЛЬНОЕ БЮДЖЕТНОЕ УЧРЕЖДЕНИЕ ДОПОЛНИТЕЛЬНОГО ОБРАЗОВАНИЯ «КОРТКЕРОССКАЯ РАЙОННАЯ ШКОЛА ИСКУССТВ»</w:t>
      </w:r>
    </w:p>
    <w:p w:rsidR="00172BBA" w:rsidRPr="00421928" w:rsidRDefault="00172BBA" w:rsidP="00B6591A">
      <w:pPr>
        <w:ind w:firstLine="567"/>
        <w:jc w:val="both"/>
        <w:rPr>
          <w:color w:val="000000" w:themeColor="text1"/>
          <w:sz w:val="20"/>
          <w:szCs w:val="20"/>
          <w:u w:val="single"/>
        </w:rPr>
      </w:pPr>
    </w:p>
    <w:p w:rsidR="004D4277" w:rsidRPr="00421928" w:rsidRDefault="004D4277" w:rsidP="004D4277">
      <w:pPr>
        <w:ind w:firstLine="567"/>
        <w:jc w:val="both"/>
        <w:rPr>
          <w:color w:val="000000" w:themeColor="text1"/>
          <w:sz w:val="20"/>
          <w:szCs w:val="20"/>
        </w:rPr>
      </w:pPr>
      <w:r w:rsidRPr="00421928">
        <w:rPr>
          <w:color w:val="000000" w:themeColor="text1"/>
          <w:sz w:val="20"/>
          <w:szCs w:val="20"/>
        </w:rPr>
        <w:t xml:space="preserve">Результаты независимой </w:t>
      </w:r>
      <w:proofErr w:type="gramStart"/>
      <w:r w:rsidRPr="00421928">
        <w:rPr>
          <w:color w:val="000000" w:themeColor="text1"/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421928">
        <w:rPr>
          <w:color w:val="000000" w:themeColor="text1"/>
          <w:sz w:val="20"/>
          <w:szCs w:val="20"/>
        </w:rPr>
        <w:t xml:space="preserve"> были получены посредством:</w:t>
      </w:r>
    </w:p>
    <w:p w:rsidR="004D4277" w:rsidRPr="00421928" w:rsidRDefault="004D4277" w:rsidP="004D4277">
      <w:pPr>
        <w:ind w:firstLine="567"/>
        <w:jc w:val="both"/>
        <w:rPr>
          <w:color w:val="000000" w:themeColor="text1"/>
          <w:sz w:val="20"/>
          <w:szCs w:val="20"/>
        </w:rPr>
      </w:pPr>
      <w:r w:rsidRPr="00421928">
        <w:rPr>
          <w:color w:val="000000" w:themeColor="text1"/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421928" w:rsidRDefault="004D4277" w:rsidP="004D4277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  <w:sz w:val="20"/>
          <w:szCs w:val="20"/>
        </w:rPr>
      </w:pPr>
      <w:r w:rsidRPr="00421928">
        <w:rPr>
          <w:color w:val="000000" w:themeColor="text1"/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421928" w:rsidRDefault="004D4277" w:rsidP="004D4277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4D4277" w:rsidRPr="00421928" w:rsidRDefault="004D4277" w:rsidP="004D4277">
      <w:pPr>
        <w:ind w:firstLine="567"/>
        <w:jc w:val="both"/>
        <w:rPr>
          <w:b/>
          <w:i/>
          <w:color w:val="000000" w:themeColor="text1"/>
          <w:sz w:val="20"/>
          <w:szCs w:val="20"/>
        </w:rPr>
      </w:pPr>
      <w:r w:rsidRPr="00421928">
        <w:rPr>
          <w:b/>
          <w:i/>
          <w:color w:val="000000" w:themeColor="text1"/>
          <w:sz w:val="20"/>
          <w:szCs w:val="20"/>
        </w:rPr>
        <w:t xml:space="preserve">Выборка </w:t>
      </w:r>
    </w:p>
    <w:p w:rsidR="004D4277" w:rsidRPr="00421928" w:rsidRDefault="004D4277" w:rsidP="004D4277">
      <w:pPr>
        <w:ind w:firstLine="567"/>
        <w:jc w:val="both"/>
        <w:rPr>
          <w:color w:val="000000" w:themeColor="text1"/>
          <w:sz w:val="20"/>
          <w:szCs w:val="20"/>
        </w:rPr>
      </w:pPr>
      <w:r w:rsidRPr="00421928">
        <w:rPr>
          <w:color w:val="000000" w:themeColor="text1"/>
          <w:sz w:val="20"/>
          <w:szCs w:val="20"/>
        </w:rPr>
        <w:t xml:space="preserve">Общереспубликанский показатель охвата респондентов </w:t>
      </w:r>
      <w:r w:rsidR="00827A5E" w:rsidRPr="00421928">
        <w:rPr>
          <w:color w:val="000000" w:themeColor="text1"/>
          <w:sz w:val="20"/>
          <w:szCs w:val="20"/>
        </w:rPr>
        <w:t>по организациям дополнительного образования детей</w:t>
      </w:r>
      <w:r w:rsidR="00827A5E" w:rsidRPr="00421928">
        <w:rPr>
          <w:b/>
          <w:color w:val="000000" w:themeColor="text1"/>
          <w:sz w:val="20"/>
          <w:szCs w:val="20"/>
        </w:rPr>
        <w:t xml:space="preserve"> </w:t>
      </w:r>
      <w:r w:rsidRPr="00421928">
        <w:rPr>
          <w:color w:val="000000" w:themeColor="text1"/>
          <w:sz w:val="20"/>
          <w:szCs w:val="20"/>
        </w:rPr>
        <w:t xml:space="preserve">(далее </w:t>
      </w:r>
      <w:r w:rsidR="00827A5E" w:rsidRPr="00421928">
        <w:rPr>
          <w:color w:val="000000" w:themeColor="text1"/>
          <w:sz w:val="20"/>
          <w:szCs w:val="20"/>
        </w:rPr>
        <w:t>–</w:t>
      </w:r>
      <w:r w:rsidRPr="00421928">
        <w:rPr>
          <w:color w:val="000000" w:themeColor="text1"/>
          <w:sz w:val="20"/>
          <w:szCs w:val="20"/>
        </w:rPr>
        <w:t xml:space="preserve"> </w:t>
      </w:r>
      <w:r w:rsidR="00827A5E" w:rsidRPr="00421928">
        <w:rPr>
          <w:color w:val="000000" w:themeColor="text1"/>
          <w:sz w:val="20"/>
          <w:szCs w:val="20"/>
        </w:rPr>
        <w:t>ОДОД)</w:t>
      </w:r>
      <w:r w:rsidRPr="00421928">
        <w:rPr>
          <w:color w:val="000000" w:themeColor="text1"/>
          <w:sz w:val="20"/>
          <w:szCs w:val="20"/>
        </w:rPr>
        <w:t xml:space="preserve"> Республики Коми составил </w:t>
      </w:r>
      <w:r w:rsidR="006363B0" w:rsidRPr="00421928">
        <w:rPr>
          <w:color w:val="000000" w:themeColor="text1"/>
          <w:sz w:val="20"/>
          <w:szCs w:val="20"/>
        </w:rPr>
        <w:t>46</w:t>
      </w:r>
      <w:r w:rsidR="003B1C80" w:rsidRPr="00421928">
        <w:rPr>
          <w:color w:val="000000" w:themeColor="text1"/>
          <w:sz w:val="20"/>
          <w:szCs w:val="20"/>
        </w:rPr>
        <w:t>,</w:t>
      </w:r>
      <w:r w:rsidR="006363B0" w:rsidRPr="00421928">
        <w:rPr>
          <w:color w:val="000000" w:themeColor="text1"/>
          <w:sz w:val="20"/>
          <w:szCs w:val="20"/>
        </w:rPr>
        <w:t>87</w:t>
      </w:r>
      <w:r w:rsidRPr="00421928">
        <w:rPr>
          <w:color w:val="000000" w:themeColor="text1"/>
          <w:sz w:val="20"/>
          <w:szCs w:val="20"/>
        </w:rPr>
        <w:t>%.</w:t>
      </w:r>
    </w:p>
    <w:p w:rsidR="004D4277" w:rsidRPr="00421928" w:rsidRDefault="004D4277" w:rsidP="00CF59A2">
      <w:pPr>
        <w:ind w:firstLine="567"/>
        <w:jc w:val="both"/>
        <w:rPr>
          <w:color w:val="000000" w:themeColor="text1"/>
          <w:sz w:val="20"/>
          <w:szCs w:val="20"/>
        </w:rPr>
      </w:pPr>
      <w:r w:rsidRPr="00421928">
        <w:rPr>
          <w:color w:val="000000" w:themeColor="text1"/>
          <w:sz w:val="20"/>
          <w:szCs w:val="20"/>
        </w:rPr>
        <w:t xml:space="preserve">Выборка опрошенных по </w:t>
      </w:r>
      <w:r w:rsidR="00D2763A" w:rsidRPr="00421928">
        <w:rPr>
          <w:color w:val="000000" w:themeColor="text1"/>
          <w:sz w:val="16"/>
          <w:szCs w:val="16"/>
          <w:u w:val="single"/>
        </w:rPr>
        <w:t>МУНИЦИПАЛЬНОМУ БЮДЖЕТНОМУ УЧРЕЖДЕНИЮ ДОПОЛНИТЕЛЬНОГО ОБРАЗОВАНИЯ «КОРТКЕРОССКАЯ РАЙОННАЯ ШКОЛА ИСКУССТВ»</w:t>
      </w:r>
      <w:r w:rsidR="00373B18" w:rsidRPr="00421928">
        <w:rPr>
          <w:color w:val="000000" w:themeColor="text1"/>
          <w:sz w:val="20"/>
          <w:szCs w:val="20"/>
        </w:rPr>
        <w:t xml:space="preserve"> </w:t>
      </w:r>
      <w:r w:rsidR="00CF59A2" w:rsidRPr="00421928">
        <w:rPr>
          <w:color w:val="000000" w:themeColor="text1"/>
          <w:sz w:val="20"/>
          <w:szCs w:val="20"/>
        </w:rPr>
        <w:t>составила 75 респондентов (</w:t>
      </w:r>
      <w:r w:rsidR="00421928" w:rsidRPr="00421928">
        <w:rPr>
          <w:color w:val="000000" w:themeColor="text1"/>
          <w:sz w:val="20"/>
          <w:szCs w:val="20"/>
        </w:rPr>
        <w:t>47,77</w:t>
      </w:r>
      <w:r w:rsidR="00CF59A2" w:rsidRPr="00421928">
        <w:rPr>
          <w:color w:val="000000" w:themeColor="text1"/>
          <w:sz w:val="20"/>
          <w:szCs w:val="20"/>
        </w:rPr>
        <w:t xml:space="preserve"> % от общего количества потребителей услуг). Данный факт показывает среднюю активность респондентов</w:t>
      </w:r>
      <w:r w:rsidR="00CF59A2" w:rsidRPr="00421928">
        <w:rPr>
          <w:i/>
          <w:color w:val="000000" w:themeColor="text1"/>
          <w:sz w:val="16"/>
          <w:szCs w:val="16"/>
        </w:rPr>
        <w:t xml:space="preserve">. 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417"/>
        <w:gridCol w:w="1086"/>
      </w:tblGrid>
      <w:tr w:rsidR="00421928" w:rsidRPr="00421928" w:rsidTr="00540FD3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421928" w:rsidRDefault="00B37328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 xml:space="preserve">Показатели, </w:t>
            </w:r>
          </w:p>
          <w:p w:rsidR="00B37328" w:rsidRPr="00421928" w:rsidRDefault="00B37328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421928" w:rsidRDefault="00B37328" w:rsidP="0029670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421928" w:rsidRDefault="00B37328" w:rsidP="0029670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421928" w:rsidRDefault="00B37328" w:rsidP="00296707">
            <w:pPr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i/>
                <w:color w:val="000000" w:themeColor="text1"/>
                <w:sz w:val="18"/>
                <w:szCs w:val="18"/>
              </w:rPr>
              <w:t>по организации</w:t>
            </w:r>
          </w:p>
        </w:tc>
        <w:tc>
          <w:tcPr>
            <w:tcW w:w="1417" w:type="dxa"/>
            <w:vAlign w:val="center"/>
          </w:tcPr>
          <w:p w:rsidR="00B37328" w:rsidRPr="00421928" w:rsidRDefault="00B37328" w:rsidP="00B373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Среднее достигнутое значение по кластеру О</w:t>
            </w:r>
            <w:r w:rsidR="00540FD3" w:rsidRPr="00421928">
              <w:rPr>
                <w:color w:val="000000" w:themeColor="text1"/>
                <w:sz w:val="18"/>
                <w:szCs w:val="18"/>
              </w:rPr>
              <w:t>Д</w:t>
            </w:r>
            <w:r w:rsidRPr="00421928">
              <w:rPr>
                <w:color w:val="000000" w:themeColor="text1"/>
                <w:sz w:val="18"/>
                <w:szCs w:val="18"/>
              </w:rPr>
              <w:t>О</w:t>
            </w:r>
            <w:r w:rsidR="00540FD3" w:rsidRPr="00421928">
              <w:rPr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1086" w:type="dxa"/>
            <w:vAlign w:val="center"/>
          </w:tcPr>
          <w:p w:rsidR="00B37328" w:rsidRPr="00421928" w:rsidRDefault="00B37328" w:rsidP="0029670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421928" w:rsidRDefault="00B37328" w:rsidP="0029670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по РК</w:t>
            </w:r>
          </w:p>
        </w:tc>
      </w:tr>
      <w:tr w:rsidR="00421928" w:rsidRPr="00421928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421928" w:rsidRDefault="00B37328" w:rsidP="00296707">
            <w:pPr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421928" w:rsidRPr="00421928" w:rsidTr="00540FD3">
        <w:trPr>
          <w:trHeight w:val="1132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21928">
              <w:rPr>
                <w:color w:val="000000" w:themeColor="text1"/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93</w:t>
            </w:r>
          </w:p>
        </w:tc>
      </w:tr>
      <w:tr w:rsidR="00421928" w:rsidRPr="00421928" w:rsidTr="00540FD3">
        <w:trPr>
          <w:trHeight w:val="356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94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93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21928">
              <w:rPr>
                <w:color w:val="000000" w:themeColor="text1"/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rPr>
          <w:trHeight w:val="839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jc w:val="center"/>
              <w:rPr>
                <w:color w:val="000000" w:themeColor="text1"/>
                <w:sz w:val="18"/>
                <w:szCs w:val="18"/>
                <w:highlight w:val="lightGray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  <w:highlight w:val="lightGray"/>
              </w:rPr>
              <w:t>100</w:t>
            </w:r>
            <w:r w:rsidRPr="0042192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21928" w:rsidRDefault="004219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97,30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96,47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95,26</w:t>
            </w:r>
          </w:p>
        </w:tc>
      </w:tr>
      <w:tr w:rsidR="00421928" w:rsidRPr="00421928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C57BDE" w:rsidRPr="00421928" w:rsidRDefault="00C57BDE" w:rsidP="002967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421928" w:rsidRPr="00421928" w:rsidTr="00D03DAE">
        <w:trPr>
          <w:trHeight w:val="709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421928" w:rsidRPr="00421928" w:rsidTr="00D03DAE">
        <w:trPr>
          <w:trHeight w:val="1766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421928" w:rsidRPr="00421928" w:rsidTr="00D03DAE">
        <w:trPr>
          <w:trHeight w:val="784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  <w:tr w:rsidR="00421928" w:rsidRPr="00421928" w:rsidTr="00D03DAE">
        <w:trPr>
          <w:trHeight w:val="708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  <w:tr w:rsidR="00421928" w:rsidRPr="00421928" w:rsidTr="00FA1A49">
        <w:trPr>
          <w:trHeight w:val="52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  <w:highlight w:val="lightGray"/>
              </w:rPr>
              <w:t>100</w:t>
            </w:r>
            <w:r w:rsidRPr="0042192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21928" w:rsidRDefault="004219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98,00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98,48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97,66</w:t>
            </w:r>
          </w:p>
        </w:tc>
      </w:tr>
      <w:tr w:rsidR="00421928" w:rsidRPr="00421928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C57BDE" w:rsidRPr="00421928" w:rsidRDefault="00C57BDE" w:rsidP="002967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421928" w:rsidRPr="00421928" w:rsidTr="00D03DAE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21928" w:rsidRPr="00421928" w:rsidTr="00D03DAE">
        <w:trPr>
          <w:trHeight w:val="2234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21928">
              <w:rPr>
                <w:color w:val="000000" w:themeColor="text1"/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21928" w:rsidRPr="00421928" w:rsidTr="00D03DAE">
        <w:trPr>
          <w:trHeight w:val="707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54</w:t>
            </w:r>
          </w:p>
        </w:tc>
      </w:tr>
      <w:tr w:rsidR="00421928" w:rsidRPr="00421928" w:rsidTr="00D03DAE">
        <w:trPr>
          <w:trHeight w:val="4091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21928">
              <w:rPr>
                <w:color w:val="000000" w:themeColor="text1"/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421928">
              <w:rPr>
                <w:color w:val="000000" w:themeColor="text1"/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54</w:t>
            </w:r>
          </w:p>
        </w:tc>
      </w:tr>
      <w:tr w:rsidR="00421928" w:rsidRPr="00421928" w:rsidTr="00D03DAE">
        <w:trPr>
          <w:trHeight w:val="628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72</w:t>
            </w:r>
          </w:p>
        </w:tc>
      </w:tr>
      <w:tr w:rsidR="00421928" w:rsidRPr="00421928" w:rsidTr="00D03DAE">
        <w:trPr>
          <w:trHeight w:val="492"/>
        </w:trPr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421928" w:rsidRPr="00421928" w:rsidRDefault="00421928" w:rsidP="00D03DAE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72</w:t>
            </w:r>
          </w:p>
        </w:tc>
      </w:tr>
      <w:tr w:rsidR="00421928" w:rsidRPr="00421928" w:rsidTr="00540FD3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  <w:highlight w:val="lightGray"/>
              </w:rPr>
              <w:t>100</w:t>
            </w:r>
            <w:r w:rsidRPr="0042192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21928" w:rsidRDefault="004219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21,20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55,15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48,64</w:t>
            </w:r>
          </w:p>
        </w:tc>
      </w:tr>
      <w:tr w:rsidR="00421928" w:rsidRPr="00421928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421928" w:rsidRDefault="00C57BDE" w:rsidP="002967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21928">
              <w:rPr>
                <w:color w:val="000000" w:themeColor="text1"/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  <w:highlight w:val="lightGray"/>
              </w:rPr>
              <w:t>100</w:t>
            </w:r>
            <w:r w:rsidRPr="0042192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21928" w:rsidRDefault="004219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99,40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97,67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95,92</w:t>
            </w:r>
          </w:p>
        </w:tc>
      </w:tr>
      <w:tr w:rsidR="00421928" w:rsidRPr="00421928" w:rsidTr="006343D4">
        <w:trPr>
          <w:trHeight w:val="467"/>
        </w:trPr>
        <w:tc>
          <w:tcPr>
            <w:tcW w:w="9591" w:type="dxa"/>
            <w:gridSpan w:val="6"/>
            <w:vAlign w:val="center"/>
          </w:tcPr>
          <w:p w:rsidR="00C57BDE" w:rsidRPr="00421928" w:rsidRDefault="00C57BDE" w:rsidP="002967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94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94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22" w:type="dxa"/>
            <w:vAlign w:val="center"/>
          </w:tcPr>
          <w:p w:rsidR="00421928" w:rsidRPr="00421928" w:rsidRDefault="00421928" w:rsidP="0042192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421928" w:rsidRPr="00421928" w:rsidRDefault="00421928" w:rsidP="00421928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86" w:type="dxa"/>
            <w:vAlign w:val="center"/>
          </w:tcPr>
          <w:p w:rsidR="00421928" w:rsidRPr="00421928" w:rsidRDefault="00421928" w:rsidP="00421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  <w:tr w:rsidR="00421928" w:rsidRPr="00421928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  <w:highlight w:val="lightGray"/>
              </w:rPr>
              <w:t>100</w:t>
            </w:r>
            <w:r w:rsidRPr="0042192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21928" w:rsidRDefault="004219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98,40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97,39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95,02</w:t>
            </w:r>
          </w:p>
        </w:tc>
      </w:tr>
      <w:tr w:rsidR="00421928" w:rsidRPr="00421928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rPr>
                <w:b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21928" w:rsidRDefault="00C57BDE" w:rsidP="002967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color w:val="000000" w:themeColor="text1"/>
                <w:sz w:val="18"/>
                <w:szCs w:val="18"/>
                <w:highlight w:val="lightGray"/>
              </w:rPr>
              <w:t>100</w:t>
            </w:r>
            <w:r w:rsidRPr="0042192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21928" w:rsidRDefault="004219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82,86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89,03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421928" w:rsidRDefault="009A02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928">
              <w:rPr>
                <w:b/>
                <w:bCs/>
                <w:color w:val="000000" w:themeColor="text1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</w:t>
      </w:r>
      <w:r w:rsidR="00540FD3">
        <w:rPr>
          <w:b/>
          <w:sz w:val="20"/>
          <w:szCs w:val="20"/>
        </w:rPr>
        <w:t xml:space="preserve">Организации </w:t>
      </w:r>
      <w:proofErr w:type="gramStart"/>
      <w:r w:rsidR="00540FD3">
        <w:rPr>
          <w:b/>
          <w:sz w:val="20"/>
          <w:szCs w:val="20"/>
        </w:rPr>
        <w:t>дополнительного</w:t>
      </w:r>
      <w:proofErr w:type="gramEnd"/>
      <w:r w:rsidR="00540FD3">
        <w:rPr>
          <w:b/>
          <w:sz w:val="20"/>
          <w:szCs w:val="20"/>
        </w:rPr>
        <w:t xml:space="preserve"> образования детей</w:t>
      </w:r>
      <w:r w:rsidRPr="00711AD0">
        <w:rPr>
          <w:b/>
          <w:sz w:val="20"/>
          <w:szCs w:val="20"/>
        </w:rPr>
        <w:t>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C5168A" w:rsidRPr="00EA5055" w:rsidRDefault="00C5168A" w:rsidP="00C516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рамках независимой </w:t>
      </w:r>
      <w:proofErr w:type="gramStart"/>
      <w:r w:rsidR="001D505A" w:rsidRPr="004348E6">
        <w:rPr>
          <w:sz w:val="20"/>
          <w:szCs w:val="20"/>
        </w:rPr>
        <w:t>оценки качества</w:t>
      </w:r>
      <w:r w:rsidRPr="004348E6">
        <w:rPr>
          <w:sz w:val="20"/>
          <w:szCs w:val="20"/>
        </w:rPr>
        <w:t xml:space="preserve"> условий осуществления образовательной деятельности</w:t>
      </w:r>
      <w:proofErr w:type="gramEnd"/>
      <w:r w:rsidRPr="004348E6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</w:t>
      </w:r>
      <w:r w:rsidRPr="00B71E64">
        <w:rPr>
          <w:sz w:val="20"/>
          <w:szCs w:val="20"/>
        </w:rPr>
        <w:t xml:space="preserve"> </w:t>
      </w:r>
      <w:r w:rsidRPr="001D505A">
        <w:rPr>
          <w:sz w:val="20"/>
          <w:szCs w:val="20"/>
        </w:rPr>
        <w:t>высокое</w:t>
      </w:r>
      <w:r w:rsidRPr="00B71E64">
        <w:rPr>
          <w:sz w:val="20"/>
          <w:szCs w:val="20"/>
        </w:rPr>
        <w:t>. Наиболее</w:t>
      </w:r>
      <w:r>
        <w:rPr>
          <w:sz w:val="20"/>
          <w:szCs w:val="20"/>
        </w:rPr>
        <w:t xml:space="preserve"> </w:t>
      </w:r>
      <w:r w:rsidRPr="00B71E64">
        <w:rPr>
          <w:sz w:val="20"/>
          <w:szCs w:val="20"/>
        </w:rPr>
        <w:t xml:space="preserve">высоко респонденты оценили </w:t>
      </w:r>
      <w:r w:rsidR="00D03DAE">
        <w:rPr>
          <w:sz w:val="20"/>
          <w:szCs w:val="20"/>
        </w:rPr>
        <w:t>«Д</w:t>
      </w:r>
      <w:r w:rsidRPr="001D505A">
        <w:rPr>
          <w:sz w:val="20"/>
          <w:szCs w:val="20"/>
        </w:rPr>
        <w:t>оброжелательность, вежливость работников организации</w:t>
      </w:r>
      <w:r w:rsidR="00D03DAE">
        <w:rPr>
          <w:sz w:val="20"/>
          <w:szCs w:val="20"/>
        </w:rPr>
        <w:t>»</w:t>
      </w:r>
      <w:r w:rsidR="001D505A" w:rsidRPr="001D505A">
        <w:rPr>
          <w:sz w:val="20"/>
          <w:szCs w:val="20"/>
        </w:rPr>
        <w:t xml:space="preserve"> (99,40</w:t>
      </w:r>
      <w:r w:rsidR="004A10B4">
        <w:rPr>
          <w:sz w:val="20"/>
          <w:szCs w:val="20"/>
        </w:rPr>
        <w:t xml:space="preserve"> баллов</w:t>
      </w:r>
      <w:r w:rsidR="001D505A" w:rsidRPr="001D505A">
        <w:rPr>
          <w:sz w:val="20"/>
          <w:szCs w:val="20"/>
        </w:rPr>
        <w:t>)</w:t>
      </w:r>
      <w:r w:rsidRPr="001D505A">
        <w:rPr>
          <w:sz w:val="20"/>
          <w:szCs w:val="20"/>
        </w:rPr>
        <w:t>.</w:t>
      </w:r>
    </w:p>
    <w:p w:rsidR="00CC58B3" w:rsidRDefault="00CC58B3" w:rsidP="00CC5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ОДОД</w:t>
      </w:r>
      <w:r>
        <w:rPr>
          <w:sz w:val="20"/>
          <w:szCs w:val="20"/>
        </w:rPr>
        <w:t>:</w:t>
      </w:r>
    </w:p>
    <w:p w:rsidR="00FD7E3F" w:rsidRPr="00D03DAE" w:rsidRDefault="00FD7E3F" w:rsidP="00D03DAE">
      <w:pPr>
        <w:widowControl w:val="0"/>
        <w:rPr>
          <w:b/>
          <w:bCs/>
          <w:color w:val="000000"/>
          <w:sz w:val="20"/>
          <w:szCs w:val="20"/>
        </w:rPr>
      </w:pPr>
      <w:r w:rsidRPr="00D03DAE">
        <w:rPr>
          <w:b/>
          <w:sz w:val="20"/>
          <w:szCs w:val="20"/>
        </w:rPr>
        <w:t xml:space="preserve"> </w:t>
      </w:r>
      <w:r w:rsidR="00BA40D6" w:rsidRPr="00D03DAE">
        <w:rPr>
          <w:b/>
          <w:sz w:val="20"/>
          <w:szCs w:val="20"/>
        </w:rPr>
        <w:t xml:space="preserve">     </w:t>
      </w:r>
      <w:r w:rsidRPr="00D03DAE">
        <w:rPr>
          <w:b/>
          <w:sz w:val="20"/>
          <w:szCs w:val="20"/>
        </w:rPr>
        <w:t xml:space="preserve"> </w:t>
      </w:r>
    </w:p>
    <w:p w:rsidR="00FD7E3F" w:rsidRDefault="00FD7E3F" w:rsidP="00FD7E3F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2355C8" w:rsidRDefault="002355C8" w:rsidP="00FD7E3F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FF24AC" w:rsidRPr="00EB42E8" w:rsidRDefault="002355C8" w:rsidP="00412C75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B42E8">
        <w:rPr>
          <w:rFonts w:ascii="Times New Roman" w:hAnsi="Times New Roman"/>
          <w:i/>
          <w:color w:val="000000" w:themeColor="text1"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3F2B2A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4. Специальные  кресла</w:t>
            </w:r>
            <w:r w:rsidR="00FD7E3F"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-коляски</w:t>
            </w:r>
          </w:p>
        </w:tc>
      </w:tr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EB42E8" w:rsidRPr="00EB42E8" w:rsidTr="00D03DAE">
        <w:trPr>
          <w:trHeight w:val="654"/>
        </w:trPr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B42E8" w:rsidRPr="00EB42E8" w:rsidTr="00D03DAE">
        <w:trPr>
          <w:trHeight w:val="591"/>
        </w:trPr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B42E8" w:rsidRPr="00EB42E8" w:rsidTr="00D03DAE">
        <w:tc>
          <w:tcPr>
            <w:tcW w:w="0" w:type="auto"/>
            <w:vAlign w:val="center"/>
          </w:tcPr>
          <w:p w:rsidR="00FD7E3F" w:rsidRPr="00EB42E8" w:rsidRDefault="00FD7E3F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9. </w:t>
            </w:r>
            <w:r w:rsidR="0014381B"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EB42E8" w:rsidRPr="00EB42E8" w:rsidTr="00D03DAE">
        <w:trPr>
          <w:trHeight w:val="385"/>
        </w:trPr>
        <w:tc>
          <w:tcPr>
            <w:tcW w:w="0" w:type="auto"/>
            <w:vAlign w:val="center"/>
          </w:tcPr>
          <w:p w:rsidR="00FD7E3F" w:rsidRPr="00EB42E8" w:rsidRDefault="00E854DB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10.</w:t>
            </w:r>
            <w:r w:rsidR="00EB42E8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="0014381B" w:rsidRPr="00EB42E8">
              <w:rPr>
                <w:rFonts w:ascii="Times New Roman" w:hAnsi="Times New Roman"/>
                <w:color w:val="000000" w:themeColor="text1"/>
                <w:lang w:eastAsia="ru-RU"/>
              </w:rPr>
              <w:t>Возможность предоставления услуг в дистанционном режиме или на дому</w:t>
            </w:r>
          </w:p>
        </w:tc>
      </w:tr>
    </w:tbl>
    <w:p w:rsidR="00EA2B98" w:rsidRPr="00EB42E8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0"/>
          <w:szCs w:val="20"/>
          <w:lang w:val="ru"/>
        </w:rPr>
      </w:pPr>
    </w:p>
    <w:p w:rsidR="00D03DAE" w:rsidRDefault="00D03DAE" w:rsidP="00D03DAE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lastRenderedPageBreak/>
        <w:t>Критерий 2 «Комфортность условий, в которых осуществляется образовательная деятельность»</w:t>
      </w:r>
    </w:p>
    <w:p w:rsidR="00D03DAE" w:rsidRPr="000B57D6" w:rsidRDefault="00D03DAE" w:rsidP="00D03DAE">
      <w:pPr>
        <w:widowControl w:val="0"/>
        <w:rPr>
          <w:b/>
          <w:sz w:val="20"/>
          <w:szCs w:val="20"/>
        </w:rPr>
      </w:pPr>
    </w:p>
    <w:p w:rsidR="00D03DAE" w:rsidRPr="00B35D01" w:rsidRDefault="00D03DAE" w:rsidP="00D03DAE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D03DAE" w:rsidRPr="004F56B7" w:rsidTr="00D03DAE">
        <w:trPr>
          <w:trHeight w:val="643"/>
        </w:trPr>
        <w:tc>
          <w:tcPr>
            <w:tcW w:w="9519" w:type="dxa"/>
            <w:vAlign w:val="center"/>
          </w:tcPr>
          <w:p w:rsidR="00D03DAE" w:rsidRPr="00D12E8C" w:rsidRDefault="00D03DAE" w:rsidP="00D03DAE">
            <w:pPr>
              <w:widowControl w:val="0"/>
              <w:tabs>
                <w:tab w:val="left" w:pos="4824"/>
              </w:tabs>
              <w:rPr>
                <w:color w:val="000000" w:themeColor="text1"/>
                <w:sz w:val="20"/>
                <w:szCs w:val="20"/>
              </w:rPr>
            </w:pPr>
            <w:r w:rsidRPr="00D12E8C">
              <w:rPr>
                <w:color w:val="000000" w:themeColor="text1"/>
                <w:sz w:val="20"/>
                <w:szCs w:val="20"/>
              </w:rPr>
              <w:t>1.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D03DAE" w:rsidRPr="004F56B7" w:rsidTr="00D03DAE">
        <w:trPr>
          <w:trHeight w:val="606"/>
        </w:trPr>
        <w:tc>
          <w:tcPr>
            <w:tcW w:w="9519" w:type="dxa"/>
            <w:vAlign w:val="center"/>
          </w:tcPr>
          <w:p w:rsidR="00D03DAE" w:rsidRPr="00D12E8C" w:rsidRDefault="00D03DAE" w:rsidP="00D03DAE">
            <w:pPr>
              <w:widowControl w:val="0"/>
              <w:tabs>
                <w:tab w:val="left" w:pos="4824"/>
              </w:tabs>
              <w:rPr>
                <w:color w:val="000000" w:themeColor="text1"/>
                <w:sz w:val="20"/>
                <w:szCs w:val="20"/>
              </w:rPr>
            </w:pPr>
            <w:r w:rsidRPr="00D12E8C">
              <w:rPr>
                <w:color w:val="000000" w:themeColor="text1"/>
                <w:sz w:val="20"/>
                <w:szCs w:val="20"/>
              </w:rPr>
              <w:t>2. Транспортная доступность (т.е. возможность доехать до организации на общественном транспорте, наличие парковки)</w:t>
            </w:r>
          </w:p>
        </w:tc>
      </w:tr>
      <w:tr w:rsidR="00D03DAE" w:rsidRPr="004F56B7" w:rsidTr="00D03DAE">
        <w:trPr>
          <w:trHeight w:val="570"/>
        </w:trPr>
        <w:tc>
          <w:tcPr>
            <w:tcW w:w="9519" w:type="dxa"/>
            <w:vAlign w:val="center"/>
          </w:tcPr>
          <w:p w:rsidR="00D03DAE" w:rsidRPr="00D12E8C" w:rsidRDefault="00D03DAE" w:rsidP="00D03DAE">
            <w:pPr>
              <w:widowControl w:val="0"/>
              <w:tabs>
                <w:tab w:val="left" w:pos="4824"/>
              </w:tabs>
              <w:rPr>
                <w:color w:val="000000" w:themeColor="text1"/>
                <w:sz w:val="20"/>
                <w:szCs w:val="20"/>
              </w:rPr>
            </w:pPr>
            <w:r w:rsidRPr="00D12E8C">
              <w:rPr>
                <w:color w:val="000000" w:themeColor="text1"/>
                <w:sz w:val="20"/>
                <w:szCs w:val="20"/>
              </w:rPr>
              <w:t>3. Доступность записи на получение услуги (по телефону, на официальном сайте организации в сети «Интернет»)</w:t>
            </w:r>
          </w:p>
        </w:tc>
      </w:tr>
    </w:tbl>
    <w:p w:rsidR="00EA2B98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D03DAE" w:rsidRDefault="00D03DAE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A23DBC" w:rsidRDefault="00EA2B98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</w:t>
      </w:r>
    </w:p>
    <w:p w:rsidR="00EA2B98" w:rsidRPr="00A23DBC" w:rsidRDefault="00EA2B98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A23DBC" w:rsidRDefault="00EA2B98" w:rsidP="004F56B7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EA2B98" w:rsidRPr="00A23DBC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3DBC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A23DBC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EA2B98" w:rsidRPr="00A23DBC" w:rsidRDefault="00EA2B98" w:rsidP="00EA2B98">
      <w:pPr>
        <w:widowControl w:val="0"/>
        <w:rPr>
          <w:b/>
          <w:sz w:val="20"/>
          <w:szCs w:val="20"/>
        </w:rPr>
      </w:pPr>
    </w:p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0A6C13" w:rsidRDefault="0088798F" w:rsidP="00D03DAE">
      <w:pPr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CC58B3">
        <w:rPr>
          <w:color w:val="000000"/>
          <w:sz w:val="20"/>
          <w:szCs w:val="20"/>
        </w:rPr>
        <w:t xml:space="preserve"> </w:t>
      </w:r>
      <w:r w:rsidR="001D505A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</w:t>
      </w:r>
      <w:r w:rsidR="001D505A">
        <w:rPr>
          <w:color w:val="000000"/>
          <w:sz w:val="20"/>
          <w:szCs w:val="20"/>
        </w:rPr>
        <w:t xml:space="preserve">образования, </w:t>
      </w:r>
      <w:r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42E8" w:rsidRPr="00EB42E8" w:rsidTr="00D03DAE">
        <w:trPr>
          <w:trHeight w:val="299"/>
        </w:trPr>
        <w:tc>
          <w:tcPr>
            <w:tcW w:w="9639" w:type="dxa"/>
            <w:vAlign w:val="center"/>
          </w:tcPr>
          <w:p w:rsidR="00EA2B98" w:rsidRPr="00EB42E8" w:rsidRDefault="00EA2B98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EB42E8" w:rsidRPr="00EB42E8" w:rsidTr="00D03DAE">
        <w:trPr>
          <w:trHeight w:val="345"/>
        </w:trPr>
        <w:tc>
          <w:tcPr>
            <w:tcW w:w="9639" w:type="dxa"/>
            <w:vAlign w:val="center"/>
          </w:tcPr>
          <w:p w:rsidR="00EA2B98" w:rsidRPr="00EB42E8" w:rsidRDefault="00EA2B98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EB42E8" w:rsidRPr="00EB42E8" w:rsidTr="00D03DAE">
        <w:trPr>
          <w:trHeight w:val="391"/>
        </w:trPr>
        <w:tc>
          <w:tcPr>
            <w:tcW w:w="9639" w:type="dxa"/>
            <w:vAlign w:val="center"/>
          </w:tcPr>
          <w:p w:rsidR="00EA2B98" w:rsidRPr="00EB42E8" w:rsidRDefault="00EA2B98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EB42E8" w:rsidRPr="00EB42E8" w:rsidTr="00D03DAE">
        <w:trPr>
          <w:trHeight w:val="295"/>
        </w:trPr>
        <w:tc>
          <w:tcPr>
            <w:tcW w:w="9639" w:type="dxa"/>
            <w:vAlign w:val="center"/>
          </w:tcPr>
          <w:p w:rsidR="00EA2B98" w:rsidRPr="00EB42E8" w:rsidRDefault="00EA2B98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EB42E8" w:rsidRPr="00EB42E8" w:rsidTr="00D03DAE">
        <w:trPr>
          <w:trHeight w:val="341"/>
        </w:trPr>
        <w:tc>
          <w:tcPr>
            <w:tcW w:w="9639" w:type="dxa"/>
            <w:vAlign w:val="center"/>
          </w:tcPr>
          <w:p w:rsidR="00EA2B98" w:rsidRPr="00EB42E8" w:rsidRDefault="00EA2B98" w:rsidP="00D03DAE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D03DAE" w:rsidRDefault="00D03DAE" w:rsidP="00EA2B98">
      <w:pPr>
        <w:ind w:firstLine="567"/>
        <w:jc w:val="both"/>
        <w:rPr>
          <w:color w:val="000000" w:themeColor="text1"/>
          <w:sz w:val="20"/>
          <w:szCs w:val="20"/>
        </w:rPr>
      </w:pPr>
    </w:p>
    <w:p w:rsidR="00EA2B98" w:rsidRPr="00EB42E8" w:rsidRDefault="00EA2B98" w:rsidP="00EA2B98">
      <w:pPr>
        <w:ind w:firstLine="567"/>
        <w:jc w:val="both"/>
        <w:rPr>
          <w:color w:val="000000" w:themeColor="text1"/>
          <w:sz w:val="20"/>
          <w:szCs w:val="20"/>
        </w:rPr>
      </w:pPr>
      <w:r w:rsidRPr="00EB42E8">
        <w:rPr>
          <w:color w:val="000000" w:themeColor="text1"/>
          <w:sz w:val="20"/>
          <w:szCs w:val="20"/>
        </w:rPr>
        <w:t>Обеспечить в организации условия доступности, позволяющие инвалидам получать услуги наравне</w:t>
      </w:r>
      <w:r w:rsidR="00CC58B3" w:rsidRPr="00EB42E8">
        <w:rPr>
          <w:color w:val="000000" w:themeColor="text1"/>
          <w:sz w:val="20"/>
          <w:szCs w:val="20"/>
        </w:rPr>
        <w:t xml:space="preserve">               </w:t>
      </w:r>
      <w:r w:rsidRPr="00EB42E8">
        <w:rPr>
          <w:color w:val="000000" w:themeColor="text1"/>
          <w:sz w:val="20"/>
          <w:szCs w:val="20"/>
        </w:rPr>
        <w:t xml:space="preserve"> </w:t>
      </w:r>
      <w:r w:rsidR="00D12E8C" w:rsidRPr="00EB42E8">
        <w:rPr>
          <w:color w:val="000000" w:themeColor="text1"/>
          <w:sz w:val="20"/>
          <w:szCs w:val="20"/>
        </w:rPr>
        <w:t>с иными</w:t>
      </w:r>
      <w:r w:rsidRPr="00EB42E8">
        <w:rPr>
          <w:color w:val="000000" w:themeColor="text1"/>
          <w:sz w:val="20"/>
          <w:szCs w:val="20"/>
        </w:rPr>
        <w:t xml:space="preserve">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B42E8" w:rsidRPr="00EB42E8" w:rsidTr="00D03DAE">
        <w:trPr>
          <w:trHeight w:val="411"/>
        </w:trPr>
        <w:tc>
          <w:tcPr>
            <w:tcW w:w="9606" w:type="dxa"/>
            <w:vAlign w:val="center"/>
          </w:tcPr>
          <w:p w:rsidR="00EA2B98" w:rsidRPr="00EB42E8" w:rsidRDefault="00EA2B98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EB42E8" w:rsidRPr="00EB42E8" w:rsidTr="00D03DAE">
        <w:trPr>
          <w:trHeight w:val="427"/>
        </w:trPr>
        <w:tc>
          <w:tcPr>
            <w:tcW w:w="9606" w:type="dxa"/>
            <w:vAlign w:val="center"/>
          </w:tcPr>
          <w:p w:rsidR="00EA2B98" w:rsidRPr="00EB42E8" w:rsidRDefault="00EA2B98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EB42E8" w:rsidRPr="00EB42E8" w:rsidTr="00D03DAE">
        <w:trPr>
          <w:trHeight w:val="422"/>
        </w:trPr>
        <w:tc>
          <w:tcPr>
            <w:tcW w:w="9606" w:type="dxa"/>
            <w:vAlign w:val="center"/>
          </w:tcPr>
          <w:p w:rsidR="00EA2B98" w:rsidRPr="00EB42E8" w:rsidRDefault="00EA2B98" w:rsidP="00D03DAE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2E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EB42E8" w:rsidRPr="00EB42E8" w:rsidTr="00D03DAE">
        <w:trPr>
          <w:trHeight w:val="750"/>
        </w:trPr>
        <w:tc>
          <w:tcPr>
            <w:tcW w:w="9606" w:type="dxa"/>
            <w:vAlign w:val="center"/>
          </w:tcPr>
          <w:p w:rsidR="00EA2B98" w:rsidRPr="00EB42E8" w:rsidRDefault="00EA2B98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4. </w:t>
            </w:r>
            <w:r w:rsidR="0014381B"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EB42E8" w:rsidRPr="00EB42E8" w:rsidTr="00D03DAE">
        <w:trPr>
          <w:trHeight w:val="321"/>
        </w:trPr>
        <w:tc>
          <w:tcPr>
            <w:tcW w:w="9606" w:type="dxa"/>
            <w:vAlign w:val="center"/>
          </w:tcPr>
          <w:p w:rsidR="00EA2B98" w:rsidRPr="00EB42E8" w:rsidRDefault="00E854DB" w:rsidP="00D03DAE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EB42E8">
              <w:rPr>
                <w:rFonts w:ascii="Times New Roman" w:hAnsi="Times New Roman"/>
                <w:color w:val="000000" w:themeColor="text1"/>
                <w:lang w:val="ru-RU" w:eastAsia="ru-RU"/>
              </w:rPr>
              <w:t>5.</w:t>
            </w:r>
            <w:r w:rsidR="0014381B" w:rsidRPr="00EB42E8">
              <w:rPr>
                <w:rFonts w:ascii="Times New Roman" w:hAnsi="Times New Roman"/>
                <w:color w:val="000000" w:themeColor="text1"/>
                <w:lang w:eastAsia="ru-RU"/>
              </w:rPr>
              <w:t xml:space="preserve"> Возможность предоставления услуг в дистанционном режиме или на дому</w:t>
            </w:r>
          </w:p>
        </w:tc>
      </w:tr>
    </w:tbl>
    <w:p w:rsidR="00D03DAE" w:rsidRDefault="00D03DAE" w:rsidP="00D03DAE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</w:p>
    <w:p w:rsidR="00D03DAE" w:rsidRDefault="00D03DAE" w:rsidP="00D03DAE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D03DAE" w:rsidRPr="00A23DBC" w:rsidRDefault="00D03DAE" w:rsidP="00D03DAE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</w:p>
    <w:p w:rsidR="00D03DAE" w:rsidRPr="00A23DBC" w:rsidRDefault="00D03DAE" w:rsidP="00D03DAE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23DBC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A23DBC">
        <w:rPr>
          <w:rFonts w:ascii="Times New Roman" w:hAnsi="Times New Roman"/>
          <w:color w:val="000000"/>
          <w:sz w:val="20"/>
          <w:szCs w:val="20"/>
        </w:rPr>
        <w:t xml:space="preserve">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D03DAE" w:rsidRPr="004F56B7" w:rsidTr="00D03DAE">
        <w:tc>
          <w:tcPr>
            <w:tcW w:w="9519" w:type="dxa"/>
            <w:vAlign w:val="center"/>
          </w:tcPr>
          <w:p w:rsidR="00D03DAE" w:rsidRPr="00D12E8C" w:rsidRDefault="00D03DAE" w:rsidP="00D03DAE">
            <w:pPr>
              <w:widowControl w:val="0"/>
              <w:tabs>
                <w:tab w:val="left" w:pos="4824"/>
              </w:tabs>
              <w:rPr>
                <w:color w:val="000000" w:themeColor="text1"/>
                <w:sz w:val="20"/>
                <w:szCs w:val="20"/>
              </w:rPr>
            </w:pPr>
            <w:r w:rsidRPr="00D12E8C">
              <w:rPr>
                <w:color w:val="000000" w:themeColor="text1"/>
                <w:sz w:val="20"/>
                <w:szCs w:val="20"/>
              </w:rPr>
              <w:t>1.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D03DAE" w:rsidRPr="004F56B7" w:rsidTr="00D03DAE">
        <w:tc>
          <w:tcPr>
            <w:tcW w:w="9519" w:type="dxa"/>
            <w:vAlign w:val="center"/>
          </w:tcPr>
          <w:p w:rsidR="00D03DAE" w:rsidRPr="00D12E8C" w:rsidRDefault="00D03DAE" w:rsidP="00D03DAE">
            <w:pPr>
              <w:widowControl w:val="0"/>
              <w:tabs>
                <w:tab w:val="left" w:pos="4824"/>
              </w:tabs>
              <w:rPr>
                <w:color w:val="000000" w:themeColor="text1"/>
                <w:sz w:val="20"/>
                <w:szCs w:val="20"/>
              </w:rPr>
            </w:pPr>
            <w:r w:rsidRPr="00D12E8C">
              <w:rPr>
                <w:color w:val="000000" w:themeColor="text1"/>
                <w:sz w:val="20"/>
                <w:szCs w:val="20"/>
              </w:rPr>
              <w:t>2. Транспортную доступность (т.е. возможность доехать до организации на общественном транспорте, наличие парковки)</w:t>
            </w:r>
          </w:p>
        </w:tc>
      </w:tr>
      <w:tr w:rsidR="00D03DAE" w:rsidRPr="004F56B7" w:rsidTr="00D03DAE">
        <w:trPr>
          <w:trHeight w:val="453"/>
        </w:trPr>
        <w:tc>
          <w:tcPr>
            <w:tcW w:w="9519" w:type="dxa"/>
            <w:vAlign w:val="center"/>
          </w:tcPr>
          <w:p w:rsidR="00D03DAE" w:rsidRPr="00D12E8C" w:rsidRDefault="00D03DAE" w:rsidP="00D03DAE">
            <w:pPr>
              <w:widowControl w:val="0"/>
              <w:tabs>
                <w:tab w:val="left" w:pos="4824"/>
              </w:tabs>
              <w:rPr>
                <w:color w:val="000000" w:themeColor="text1"/>
                <w:sz w:val="20"/>
                <w:szCs w:val="20"/>
              </w:rPr>
            </w:pPr>
            <w:r w:rsidRPr="00D12E8C">
              <w:rPr>
                <w:color w:val="000000" w:themeColor="text1"/>
                <w:sz w:val="20"/>
                <w:szCs w:val="20"/>
              </w:rPr>
              <w:t>3. Доступность записи на получение услуги (по телефону, на официальном сайте организации в сети «Интернет»)</w:t>
            </w:r>
          </w:p>
        </w:tc>
      </w:tr>
    </w:tbl>
    <w:p w:rsidR="00EA2B98" w:rsidRPr="00D03DAE" w:rsidRDefault="00EA2B98" w:rsidP="00D03DAE">
      <w:pPr>
        <w:widowControl w:val="0"/>
        <w:rPr>
          <w:b/>
          <w:sz w:val="18"/>
          <w:szCs w:val="18"/>
        </w:rPr>
      </w:pPr>
    </w:p>
    <w:sectPr w:rsidR="00EA2B98" w:rsidRPr="00D03DAE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C4" w:rsidRDefault="00F25DC4" w:rsidP="00A7093F">
      <w:r>
        <w:separator/>
      </w:r>
    </w:p>
  </w:endnote>
  <w:endnote w:type="continuationSeparator" w:id="0">
    <w:p w:rsidR="00F25DC4" w:rsidRDefault="00F25DC4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C4" w:rsidRDefault="00F25DC4" w:rsidP="00A7093F">
      <w:r>
        <w:separator/>
      </w:r>
    </w:p>
  </w:footnote>
  <w:footnote w:type="continuationSeparator" w:id="0">
    <w:p w:rsidR="00F25DC4" w:rsidRDefault="00F25DC4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8590A"/>
    <w:rsid w:val="00091A4C"/>
    <w:rsid w:val="00092F84"/>
    <w:rsid w:val="000A224A"/>
    <w:rsid w:val="000A2B23"/>
    <w:rsid w:val="000A6C13"/>
    <w:rsid w:val="000B291E"/>
    <w:rsid w:val="000B57D6"/>
    <w:rsid w:val="000C2AA3"/>
    <w:rsid w:val="000C36FC"/>
    <w:rsid w:val="000E3D8A"/>
    <w:rsid w:val="000E77E7"/>
    <w:rsid w:val="0010121A"/>
    <w:rsid w:val="00101C37"/>
    <w:rsid w:val="00104CE2"/>
    <w:rsid w:val="001118E3"/>
    <w:rsid w:val="00120A1E"/>
    <w:rsid w:val="00134405"/>
    <w:rsid w:val="001371A6"/>
    <w:rsid w:val="00142224"/>
    <w:rsid w:val="0014381B"/>
    <w:rsid w:val="001618F2"/>
    <w:rsid w:val="001620A4"/>
    <w:rsid w:val="00165B00"/>
    <w:rsid w:val="0017206E"/>
    <w:rsid w:val="00172BBA"/>
    <w:rsid w:val="00173A9C"/>
    <w:rsid w:val="001816C7"/>
    <w:rsid w:val="00186C0B"/>
    <w:rsid w:val="001944F7"/>
    <w:rsid w:val="001A4B9E"/>
    <w:rsid w:val="001B461A"/>
    <w:rsid w:val="001B6CD8"/>
    <w:rsid w:val="001C527D"/>
    <w:rsid w:val="001C5B08"/>
    <w:rsid w:val="001D2076"/>
    <w:rsid w:val="001D505A"/>
    <w:rsid w:val="001E34C0"/>
    <w:rsid w:val="001E36D9"/>
    <w:rsid w:val="001E6815"/>
    <w:rsid w:val="001F1926"/>
    <w:rsid w:val="00203937"/>
    <w:rsid w:val="00222D6C"/>
    <w:rsid w:val="00224FBE"/>
    <w:rsid w:val="002355C8"/>
    <w:rsid w:val="00236B58"/>
    <w:rsid w:val="00283BD1"/>
    <w:rsid w:val="00284F99"/>
    <w:rsid w:val="00287DFB"/>
    <w:rsid w:val="002965D5"/>
    <w:rsid w:val="00296707"/>
    <w:rsid w:val="002A3AD7"/>
    <w:rsid w:val="002A621A"/>
    <w:rsid w:val="002A622E"/>
    <w:rsid w:val="002B6B88"/>
    <w:rsid w:val="002C1893"/>
    <w:rsid w:val="002D0E76"/>
    <w:rsid w:val="002D1EFD"/>
    <w:rsid w:val="002E0F85"/>
    <w:rsid w:val="002F4039"/>
    <w:rsid w:val="00300C4D"/>
    <w:rsid w:val="00303505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0AF4"/>
    <w:rsid w:val="00335276"/>
    <w:rsid w:val="00344C7C"/>
    <w:rsid w:val="00356464"/>
    <w:rsid w:val="00373B18"/>
    <w:rsid w:val="00375B68"/>
    <w:rsid w:val="00385451"/>
    <w:rsid w:val="003B1C80"/>
    <w:rsid w:val="003D07CE"/>
    <w:rsid w:val="003D0CEF"/>
    <w:rsid w:val="003D50D2"/>
    <w:rsid w:val="003E066D"/>
    <w:rsid w:val="003E36B3"/>
    <w:rsid w:val="003F2B2A"/>
    <w:rsid w:val="00404A8F"/>
    <w:rsid w:val="00412C75"/>
    <w:rsid w:val="004136C1"/>
    <w:rsid w:val="00421928"/>
    <w:rsid w:val="00421DEC"/>
    <w:rsid w:val="0043737A"/>
    <w:rsid w:val="0046062F"/>
    <w:rsid w:val="00463E97"/>
    <w:rsid w:val="0046761B"/>
    <w:rsid w:val="00485671"/>
    <w:rsid w:val="00497813"/>
    <w:rsid w:val="004A10B4"/>
    <w:rsid w:val="004A603F"/>
    <w:rsid w:val="004A6947"/>
    <w:rsid w:val="004B3A3A"/>
    <w:rsid w:val="004D4277"/>
    <w:rsid w:val="004D552E"/>
    <w:rsid w:val="004E0C66"/>
    <w:rsid w:val="004E1A57"/>
    <w:rsid w:val="004E463B"/>
    <w:rsid w:val="004F1AA7"/>
    <w:rsid w:val="004F56B7"/>
    <w:rsid w:val="004F56E0"/>
    <w:rsid w:val="004F75CD"/>
    <w:rsid w:val="004F7637"/>
    <w:rsid w:val="00517AB2"/>
    <w:rsid w:val="00523B53"/>
    <w:rsid w:val="00523EB7"/>
    <w:rsid w:val="00540FD3"/>
    <w:rsid w:val="00554A6C"/>
    <w:rsid w:val="00560D30"/>
    <w:rsid w:val="00564484"/>
    <w:rsid w:val="00570752"/>
    <w:rsid w:val="00576936"/>
    <w:rsid w:val="0058037F"/>
    <w:rsid w:val="005840A5"/>
    <w:rsid w:val="005A2C40"/>
    <w:rsid w:val="005E1783"/>
    <w:rsid w:val="005E5C26"/>
    <w:rsid w:val="0060170F"/>
    <w:rsid w:val="006040F7"/>
    <w:rsid w:val="00613655"/>
    <w:rsid w:val="00613F26"/>
    <w:rsid w:val="006245BD"/>
    <w:rsid w:val="00627F37"/>
    <w:rsid w:val="006321BC"/>
    <w:rsid w:val="006343D4"/>
    <w:rsid w:val="006363B0"/>
    <w:rsid w:val="00647257"/>
    <w:rsid w:val="0065312C"/>
    <w:rsid w:val="00660129"/>
    <w:rsid w:val="00663B18"/>
    <w:rsid w:val="00683048"/>
    <w:rsid w:val="00685319"/>
    <w:rsid w:val="00691077"/>
    <w:rsid w:val="006A2646"/>
    <w:rsid w:val="006A48EE"/>
    <w:rsid w:val="006B0D35"/>
    <w:rsid w:val="006C722C"/>
    <w:rsid w:val="006D24AB"/>
    <w:rsid w:val="006D549E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39D0"/>
    <w:rsid w:val="00727C2C"/>
    <w:rsid w:val="00732991"/>
    <w:rsid w:val="00735216"/>
    <w:rsid w:val="00736AF8"/>
    <w:rsid w:val="007401C1"/>
    <w:rsid w:val="00744821"/>
    <w:rsid w:val="0074589B"/>
    <w:rsid w:val="00751128"/>
    <w:rsid w:val="00765BB9"/>
    <w:rsid w:val="00781639"/>
    <w:rsid w:val="00783938"/>
    <w:rsid w:val="007839E9"/>
    <w:rsid w:val="00792331"/>
    <w:rsid w:val="0079404C"/>
    <w:rsid w:val="0079457A"/>
    <w:rsid w:val="00796F8A"/>
    <w:rsid w:val="0079756B"/>
    <w:rsid w:val="007B4AFD"/>
    <w:rsid w:val="007C658B"/>
    <w:rsid w:val="007C7693"/>
    <w:rsid w:val="007D1BC4"/>
    <w:rsid w:val="007F1FE2"/>
    <w:rsid w:val="00806179"/>
    <w:rsid w:val="00827A5E"/>
    <w:rsid w:val="00836BA9"/>
    <w:rsid w:val="00851300"/>
    <w:rsid w:val="00856494"/>
    <w:rsid w:val="008568BE"/>
    <w:rsid w:val="00863554"/>
    <w:rsid w:val="0088798F"/>
    <w:rsid w:val="008A3116"/>
    <w:rsid w:val="008A5C75"/>
    <w:rsid w:val="008B2161"/>
    <w:rsid w:val="008B4567"/>
    <w:rsid w:val="008D5643"/>
    <w:rsid w:val="008F400F"/>
    <w:rsid w:val="00923E01"/>
    <w:rsid w:val="00924075"/>
    <w:rsid w:val="0093443B"/>
    <w:rsid w:val="009355FA"/>
    <w:rsid w:val="009370A6"/>
    <w:rsid w:val="00946180"/>
    <w:rsid w:val="00967197"/>
    <w:rsid w:val="0097381B"/>
    <w:rsid w:val="0097515E"/>
    <w:rsid w:val="009862C5"/>
    <w:rsid w:val="0098738A"/>
    <w:rsid w:val="00987D09"/>
    <w:rsid w:val="00992411"/>
    <w:rsid w:val="009A02D2"/>
    <w:rsid w:val="009A55EB"/>
    <w:rsid w:val="009A6A7A"/>
    <w:rsid w:val="009B3A84"/>
    <w:rsid w:val="009B5B3D"/>
    <w:rsid w:val="009C21DC"/>
    <w:rsid w:val="009D09D3"/>
    <w:rsid w:val="009E6CED"/>
    <w:rsid w:val="00A0686F"/>
    <w:rsid w:val="00A12C70"/>
    <w:rsid w:val="00A16D43"/>
    <w:rsid w:val="00A2198E"/>
    <w:rsid w:val="00A2756D"/>
    <w:rsid w:val="00A27A55"/>
    <w:rsid w:val="00A334A5"/>
    <w:rsid w:val="00A34881"/>
    <w:rsid w:val="00A64BD7"/>
    <w:rsid w:val="00A66656"/>
    <w:rsid w:val="00A7093F"/>
    <w:rsid w:val="00A77F6F"/>
    <w:rsid w:val="00A80ECF"/>
    <w:rsid w:val="00A81A13"/>
    <w:rsid w:val="00A868B4"/>
    <w:rsid w:val="00A911EE"/>
    <w:rsid w:val="00A94E7B"/>
    <w:rsid w:val="00AC6CDA"/>
    <w:rsid w:val="00AD78AB"/>
    <w:rsid w:val="00AE7879"/>
    <w:rsid w:val="00B35487"/>
    <w:rsid w:val="00B37328"/>
    <w:rsid w:val="00B37B41"/>
    <w:rsid w:val="00B6156A"/>
    <w:rsid w:val="00B6591A"/>
    <w:rsid w:val="00B74F35"/>
    <w:rsid w:val="00B757F8"/>
    <w:rsid w:val="00B86C4A"/>
    <w:rsid w:val="00BA25B8"/>
    <w:rsid w:val="00BA40D6"/>
    <w:rsid w:val="00BC55D9"/>
    <w:rsid w:val="00BD07FD"/>
    <w:rsid w:val="00BE493D"/>
    <w:rsid w:val="00BF0F8B"/>
    <w:rsid w:val="00BF6274"/>
    <w:rsid w:val="00C02DA1"/>
    <w:rsid w:val="00C12972"/>
    <w:rsid w:val="00C21014"/>
    <w:rsid w:val="00C27BF1"/>
    <w:rsid w:val="00C46B07"/>
    <w:rsid w:val="00C5168A"/>
    <w:rsid w:val="00C53484"/>
    <w:rsid w:val="00C57BDE"/>
    <w:rsid w:val="00C6581C"/>
    <w:rsid w:val="00C71014"/>
    <w:rsid w:val="00C71D1A"/>
    <w:rsid w:val="00C75A78"/>
    <w:rsid w:val="00C80B33"/>
    <w:rsid w:val="00C84E1B"/>
    <w:rsid w:val="00C85714"/>
    <w:rsid w:val="00CB274F"/>
    <w:rsid w:val="00CB5BC0"/>
    <w:rsid w:val="00CC0058"/>
    <w:rsid w:val="00CC58B3"/>
    <w:rsid w:val="00CD1A27"/>
    <w:rsid w:val="00CF59A2"/>
    <w:rsid w:val="00D03DAE"/>
    <w:rsid w:val="00D12E8C"/>
    <w:rsid w:val="00D14EFA"/>
    <w:rsid w:val="00D2763A"/>
    <w:rsid w:val="00D420AC"/>
    <w:rsid w:val="00D42959"/>
    <w:rsid w:val="00D43AAB"/>
    <w:rsid w:val="00D746A2"/>
    <w:rsid w:val="00D977ED"/>
    <w:rsid w:val="00DA5F96"/>
    <w:rsid w:val="00DB0B22"/>
    <w:rsid w:val="00DB3677"/>
    <w:rsid w:val="00DC2E77"/>
    <w:rsid w:val="00DC3990"/>
    <w:rsid w:val="00DD10E3"/>
    <w:rsid w:val="00DE5E57"/>
    <w:rsid w:val="00DF1D78"/>
    <w:rsid w:val="00DF7C09"/>
    <w:rsid w:val="00E0186E"/>
    <w:rsid w:val="00E0320E"/>
    <w:rsid w:val="00E32E2D"/>
    <w:rsid w:val="00E45E96"/>
    <w:rsid w:val="00E67451"/>
    <w:rsid w:val="00E77AC6"/>
    <w:rsid w:val="00E81A6F"/>
    <w:rsid w:val="00E84A25"/>
    <w:rsid w:val="00E854DB"/>
    <w:rsid w:val="00EA0B63"/>
    <w:rsid w:val="00EA2B98"/>
    <w:rsid w:val="00EA5DDC"/>
    <w:rsid w:val="00EA7075"/>
    <w:rsid w:val="00EB034C"/>
    <w:rsid w:val="00EB32E8"/>
    <w:rsid w:val="00EB3867"/>
    <w:rsid w:val="00EB3D82"/>
    <w:rsid w:val="00EB42E8"/>
    <w:rsid w:val="00EC2420"/>
    <w:rsid w:val="00EE5951"/>
    <w:rsid w:val="00F25DC4"/>
    <w:rsid w:val="00F45B6D"/>
    <w:rsid w:val="00F65705"/>
    <w:rsid w:val="00F671D0"/>
    <w:rsid w:val="00F74D99"/>
    <w:rsid w:val="00F76A89"/>
    <w:rsid w:val="00F830B2"/>
    <w:rsid w:val="00F8583F"/>
    <w:rsid w:val="00F97ED2"/>
    <w:rsid w:val="00FA096A"/>
    <w:rsid w:val="00FA1A49"/>
    <w:rsid w:val="00FA5B7E"/>
    <w:rsid w:val="00FA7455"/>
    <w:rsid w:val="00FB0CF2"/>
    <w:rsid w:val="00FD4CE8"/>
    <w:rsid w:val="00FD7E3F"/>
    <w:rsid w:val="00FE5B64"/>
    <w:rsid w:val="00FE664F"/>
    <w:rsid w:val="00FF24A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2967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2967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-1.9308184884200938E-17"/>
                  <c:y val="-6.8111213145503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5044E-3"/>
                  <c:y val="-3.30851943755171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3.3133879098446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7.7232739536803753E-17"/>
                  <c:y val="1.5163872247765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4.2127435492364399E-3"/>
                  <c:y val="-1.5163872247765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9F-4093-B2AD-B930DCB34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97.3</c:v>
                </c:pt>
                <c:pt idx="1">
                  <c:v>98</c:v>
                </c:pt>
                <c:pt idx="2">
                  <c:v>21.2</c:v>
                </c:pt>
                <c:pt idx="3">
                  <c:v>99.4</c:v>
                </c:pt>
                <c:pt idx="4">
                  <c:v>98.4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ОДОД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44548328024394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9F-4093-B2AD-B930DCB34C03}"/>
                </c:ext>
              </c:extLst>
            </c:dLbl>
            <c:dLbl>
              <c:idx val="1"/>
              <c:layout>
                <c:manualLayout>
                  <c:x val="4.3441015370708994E-3"/>
                  <c:y val="-1.002585594914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1.9723600900598327E-3"/>
                  <c:y val="1.440664830047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54495333693857E-3"/>
                  <c:y val="6.6259467357900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9F-4093-B2AD-B930DCB34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96.47</c:v>
                </c:pt>
                <c:pt idx="1">
                  <c:v>98.48</c:v>
                </c:pt>
                <c:pt idx="2">
                  <c:v>55.15</c:v>
                </c:pt>
                <c:pt idx="3">
                  <c:v>97.67</c:v>
                </c:pt>
                <c:pt idx="4">
                  <c:v>97.39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2128"/>
        <c:axId val="58993664"/>
      </c:barChart>
      <c:catAx>
        <c:axId val="5899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8993664"/>
        <c:crosses val="autoZero"/>
        <c:auto val="1"/>
        <c:lblAlgn val="ctr"/>
        <c:lblOffset val="100"/>
        <c:noMultiLvlLbl val="0"/>
      </c:catAx>
      <c:valAx>
        <c:axId val="5899366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589921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BC6E-F655-47B6-BF50-78549C3F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14</cp:revision>
  <cp:lastPrinted>2019-12-02T11:19:00Z</cp:lastPrinted>
  <dcterms:created xsi:type="dcterms:W3CDTF">2022-09-20T07:34:00Z</dcterms:created>
  <dcterms:modified xsi:type="dcterms:W3CDTF">2022-09-23T09:25:00Z</dcterms:modified>
</cp:coreProperties>
</file>